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sans-serif" w:hAnsi="sans-serif"/>
          <w:b w:val="false"/>
          <w:color w:val="000000"/>
          <w:sz w:val="22"/>
        </w:rPr>
        <w:t>August 12,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AZITRA,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001-41705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46-4478536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 Business Park Drive</w:t>
            </w:r>
          </w:p>
          <w:p>
            <w:pPr>
              <w:pStyle w:val="TableContents"/>
              <w:bidi w:val="0"/>
              <w:spacing w:lineRule="auto" w:line="288" w:before="0" w:after="2"/>
              <w:jc w:val="center"/>
              <w:rPr/>
            </w:pPr>
            <w:r>
              <w:rPr>
                <w:rFonts w:ascii="Times New Roman;serif" w:hAnsi="Times New Roman;serif"/>
                <w:b/>
                <w:color w:val="000000"/>
                <w:sz w:val="20"/>
              </w:rPr>
              <w:t>Branford</w:t>
            </w:r>
            <w:r>
              <w:rPr>
                <w:color w:val="000000"/>
              </w:rPr>
              <w:t xml:space="preserve"> </w:t>
            </w:r>
            <w:r>
              <w:rPr>
                <w:rFonts w:ascii="Times New Roman;serif" w:hAnsi="Times New Roman;serif"/>
                <w:b/>
                <w:color w:val="000000"/>
                <w:sz w:val="20"/>
              </w:rPr>
              <w:t>CT06405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color w:val="000000"/>
                <w:sz w:val="20"/>
              </w:rPr>
              <w:t>(203)</w:t>
            </w:r>
            <w:r>
              <w:rPr>
                <w:color w:val="000000"/>
              </w:rPr>
              <w:t xml:space="preserve"> </w:t>
            </w:r>
            <w:r>
              <w:rPr>
                <w:rFonts w:ascii="Times New Roman;serif" w:hAnsi="Times New Roman;serif"/>
                <w:b/>
                <w:color w:val="000000"/>
                <w:sz w:val="20"/>
              </w:rPr>
              <w:t>646-6446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403" w:type="dxa"/>
        <w:jc w:val="left"/>
        <w:tblInd w:w="0" w:type="dxa"/>
        <w:tblLayout w:type="fixed"/>
        <w:tblCellMar>
          <w:top w:w="28" w:type="dxa"/>
          <w:left w:w="28" w:type="dxa"/>
          <w:bottom w:w="28" w:type="dxa"/>
          <w:right w:w="28" w:type="dxa"/>
        </w:tblCellMar>
      </w:tblPr>
      <w:tblGrid>
        <w:gridCol w:w="1098"/>
        <w:gridCol w:w="966"/>
        <w:gridCol w:w="966"/>
        <w:gridCol w:w="516"/>
        <w:gridCol w:w="516"/>
        <w:gridCol w:w="516"/>
        <w:gridCol w:w="1120"/>
        <w:gridCol w:w="1120"/>
        <w:gridCol w:w="1585"/>
      </w:tblGrid>
      <w:tr>
        <w:trPr/>
        <w:tc>
          <w:tcPr>
            <w:tcW w:w="109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4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AZTR</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NYSE American</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lineRule="auto" w:line="268" w:before="0" w:after="0"/>
        <w:jc w:val="left"/>
        <w:rPr/>
      </w:pPr>
      <w:r>
        <w:rPr>
          <w:rFonts w:ascii="Times New Roman;serif" w:hAnsi="Times New Roman;serif"/>
          <w:b w:val="false"/>
          <w:color w:val="000000"/>
          <w:sz w:val="20"/>
          <w:shd w:fill="FFFFFF" w:val="clear"/>
        </w:rPr>
        <w:t>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12, 2026, Azitra, Inc. (the “Company”) issued a press release announcing its financial results as of and for the quarter ended June 30, 2026. A copy of the press release is attached as Exhibit 99.1 to this Current Report and is incorporated herein by reference.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press release attached as Exhibit 99.1 hereto, is furnished pursuant to Item 2.02 and shall not be deemed “filed” for any purpose, including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regardless of any general incorporation language in such filing.</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electronically herewith:</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28"/>
        <w:gridCol w:w="109"/>
        <w:gridCol w:w="109"/>
        <w:gridCol w:w="109"/>
        <w:gridCol w:w="2593"/>
        <w:gridCol w:w="2593"/>
        <w:gridCol w:w="366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aztrpressrelease6302026-ex.htm">
              <w:r>
                <w:rPr>
                  <w:rStyle w:val="InternetLink"/>
                  <w:rFonts w:ascii="Times New Roman;serif" w:hAnsi="Times New Roman;serif"/>
                  <w:b w:val="false"/>
                  <w:color w:val="0000FF"/>
                  <w:sz w:val="20"/>
                  <w:u w:val="single"/>
                </w:rPr>
                <w:t>Press release dated August 12, 2026 regarding the Registrant's financial results for the fiscal quarter ended June 30, 2026.</w:t>
              </w:r>
            </w:hyperlink>
          </w:p>
        </w:tc>
      </w:tr>
      <w:tr>
        <w:trPr/>
        <w:tc>
          <w:tcPr>
            <w:tcW w:w="10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on </w:t>
      </w:r>
      <w:r>
        <w:rPr>
          <w:rFonts w:ascii="sans-serif" w:hAnsi="sans-serif"/>
          <w:b w:val="false"/>
          <w:color w:val="000000"/>
          <w:sz w:val="22"/>
        </w:rPr>
        <w:t>August 12, 2026</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tbl>
      <w:tblPr>
        <w:tblW w:w="2734" w:type="dxa"/>
        <w:jc w:val="right"/>
        <w:tblInd w:w="0" w:type="dxa"/>
        <w:tblLayout w:type="fixed"/>
        <w:tblCellMar>
          <w:top w:w="28" w:type="dxa"/>
          <w:left w:w="28" w:type="dxa"/>
          <w:bottom w:w="28" w:type="dxa"/>
          <w:right w:w="28" w:type="dxa"/>
        </w:tblCellMar>
      </w:tblPr>
      <w:tblGrid>
        <w:gridCol w:w="241"/>
        <w:gridCol w:w="212"/>
        <w:gridCol w:w="212"/>
        <w:gridCol w:w="601"/>
        <w:gridCol w:w="601"/>
        <w:gridCol w:w="867"/>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3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Francisco D. Salva</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80"/>
        <w:jc w:val="center"/>
        <w:rPr/>
      </w:pPr>
      <w:r>
        <w:rPr/>
        <w:drawing>
          <wp:inline distT="0" distB="0" distL="0" distR="0">
            <wp:extent cx="3829050" cy="1905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829050" cy="190500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Azitra, Inc. Announces Q2 2026 Results and Provides Business Updates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BRANFORD, Conn. – August 12, 2026 — Azitra, Inc. (“Azitra” or the “Company”) (NYSE American: AZTR), a clinical stage biopharmaceutical company focused on developing innovative therapies for precision dermatology and high value cosmetic proteins and peptides, today reported financial results for the quarter ended June 30, 2026, and provided a business update.</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Q2 2026 and Recent Business Highlights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Reported the first preclinical data from ATR-COSF demonstrating breakthrough repeat-dose distribution, controlled delivery into targeted skin layers and anti-wrinkle activity in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human skin, supporting advancement toward a planned proof-of-concept clinical study.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Continued enrollment of the first cohort in the Phase 1/2 clinical trial evaluating ATR-04 for EGFR inhibitor-associated rash.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Continued advancement of recombinant protein initiatives, including Tobacco Etch Virus (TEV) Protease and T7 RNA Polymerase, expanding the Company's platform into biotechnology research and manufacturing applications.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Issued CEO Letter to Shareholders detailing Azitra's expanded strategy to leverage its proprietary microbial genetic engineering platform across therapeutics, cosmetic ingredients and biotechnology products.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second quarter has marked an exciting evolution for Azitra with the first data from our ATR-COSF program, which provided validation of our strategy to leverage our microbial genetic engineering platform beyond traditional therapeutics,” said Francisco Salva, Chief Executive Officer of Azitra. “Combined with the continued advancement of ATR-04 and our recombinant protein initiatives, these accomplishments reflect the breadth of opportunities we are creating in multiple billion dollar markets, including therapeutics, cosmetic ingredients and biotechnology applications.”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Salva continued: “Our ATR-COSF program continues to excite our team, as it represents one of the first to demonstrate the wrinkle reducing potential of recombinant filaggrin ingredient in </w:t>
      </w:r>
      <w:r>
        <w:rPr>
          <w:rFonts w:ascii="Times New Roman;serif" w:hAnsi="Times New Roman;serif"/>
          <w:b w:val="false"/>
          <w:i/>
          <w:color w:val="000000"/>
          <w:sz w:val="24"/>
        </w:rPr>
        <w:t>ex vivo</w:t>
      </w:r>
      <w:r>
        <w:rPr>
          <w:color w:val="000000"/>
        </w:rPr>
        <w:t xml:space="preserve"> </w:t>
      </w:r>
      <w:r>
        <w:rPr>
          <w:rFonts w:ascii="Times New Roman;serif" w:hAnsi="Times New Roman;serif"/>
          <w:b w:val="false"/>
          <w:color w:val="000000"/>
          <w:sz w:val="20"/>
        </w:rPr>
        <w:t>human skin. It shows Azitra’s ability to translate our cutting edge science into observable benefits for consumers. The ATR-COSF program represents our first step in unlocking meaningful value for shareholders while positioning Azitra at the intersection of synthetic biology, artificial intelligence and next-generation biological manufacturing.</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During the quarter, we also continued enrollment of the first cohort in our Phase 1/2 clinical trial evaluating ATR-04 for EGFR inhibitor-associated rash. With six active clinical sites, including MD Anderson Cancer Center, we remain on track to report topline data from the first cohort around year end. Additionally, we are in the process to open eligibility criteria to other cancer treatment related rashes driven by inhibitors along the same EGFR/KRAS/MEK/ERK pathway. EGFR inhibitor-associated rash remains a significant unmet medical need, affecting an estimated 50% to 90% of patients receiving EGFR-targeted cancer therapies and frequently leading to dose reductions, treatment interruptions or discontinuation.”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Salva concluded: “Looking ahead, we remain focused on implementing the strategy outlined in our recent shareholder letter. That includes advancing ATR-COSF toward a planned proof-of-concept clinical study, continuing development of our recombinant protein portfolio, including TEV Protease and T7 RNA Polymerase, and progressing ATR-04 as our lead clinical therapeutic program. We believe these initiatives position Azitra to unlock the full potential of our platform while creating multiple avenues for long-term growth and shareholder value."</w:t>
      </w:r>
    </w:p>
    <w:p>
      <w:pPr>
        <w:pStyle w:val="TextBody"/>
        <w:bidi w:val="0"/>
        <w:spacing w:before="0" w:after="0"/>
        <w:jc w:val="left"/>
        <w:rPr/>
      </w:pPr>
      <w:r>
        <w:rPr/>
      </w:r>
    </w:p>
    <w:p>
      <w:pPr>
        <w:pStyle w:val="TextBody"/>
        <w:bidi w:val="0"/>
        <w:spacing w:lineRule="auto" w:line="256"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Pipeline Achievements and Upcoming Milestones</w:t>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ATR-COSF - New Consumer Initiative to Improve the Appearance of Fine Lines and Wrinkles</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Results from synthesized filaggrin ingredients, repeat application study on explanted cosmetic surgery skin.</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Announced positive preclinical data demonstrating breakthrough repeat-dose delivery and distribution together with anti-wrinkle activity in </w:t>
      </w:r>
      <w:r>
        <w:rPr>
          <w:rFonts w:ascii="Times New Roman;serif" w:hAnsi="Times New Roman;serif"/>
          <w:b w:val="false"/>
          <w:i/>
          <w:color w:val="000000"/>
          <w:sz w:val="24"/>
        </w:rPr>
        <w:t>ex vivo</w:t>
      </w:r>
      <w:r>
        <w:rPr>
          <w:color w:val="000000"/>
        </w:rPr>
        <w:t xml:space="preserve"> </w:t>
      </w:r>
      <w:r>
        <w:rPr>
          <w:rFonts w:ascii="Times New Roman;serif" w:hAnsi="Times New Roman;serif"/>
          <w:b w:val="false"/>
          <w:color w:val="000000"/>
          <w:sz w:val="20"/>
        </w:rPr>
        <w:t>human skin, supporting advancement toward a planned proof-of-concept cosmetic study evaluating the safety and efficacy of ATR-COSF.</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Human cosmetic application study planned to start in Q3 2026.</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ATR-04 – Addressing an Unmet Need for Cancer Patients in a Billion Dollar Market Opportunity</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Continued enrollment of the first cohort of the ongoing Phase 1/2 clinical trial evaluating ATR-04 for the treatment of EGFRi-associated rash.</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Topline data from first cohort of Phase 1/2 trial expected in Q4-2026.</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Recombinant Protein Platform</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Announced plans to advance development of its recombinant protein portfolio, including TEV Protease and T7 RNA Polymerase.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Platform provides opportunity to develop high-quality recombinant proteins for biotechnology research and manufacturing applications, representing potential opportunities to leverage its microbial genetic engineering expertise while broadening its long-term commercial potential.</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ATR-12 - Advancing Phase 1b Clinical Trial in Netherton Syndrome</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Consistent with the priorities outlined in the Company's recent shareholder letter, Azitra plans to strategically pause further enrollment in the ongoing Phase 1b study evaluating ATR-12 for Netherton syndrome.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This decision reflects the Company's disciplined approach to capital allocation and its focus on advancing programs with the greatest near-term opportunities for clinical, commercial and shareholder value creation.</w:t>
      </w:r>
    </w:p>
    <w:p>
      <w:pPr>
        <w:pStyle w:val="TextBody"/>
        <w:bidi w:val="0"/>
        <w:spacing w:before="0" w:after="0"/>
        <w:jc w:val="left"/>
        <w:rPr/>
      </w:pPr>
      <w:r>
        <w:rPr/>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Financial Results for the Quarter Ended June 30, 2026</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 xml:space="preserve">Research and Development (R&amp;D) expenses: </w:t>
      </w:r>
      <w:r>
        <w:rPr>
          <w:rFonts w:ascii="Times New Roman;serif" w:hAnsi="Times New Roman;serif"/>
          <w:b w:val="false"/>
          <w:color w:val="000000"/>
          <w:sz w:val="20"/>
        </w:rPr>
        <w:t>R&amp;D expenses for the quarter ended June 30, 2026, were $1.4 million compared to $1.4 million for the comparable period in 2025.</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 xml:space="preserve">General and Administrative (G&amp;A) expenses: </w:t>
      </w:r>
      <w:r>
        <w:rPr>
          <w:rFonts w:ascii="Times New Roman;serif" w:hAnsi="Times New Roman;serif"/>
          <w:b w:val="false"/>
          <w:color w:val="000000"/>
          <w:sz w:val="20"/>
        </w:rPr>
        <w:t>G&amp;A expenses for the quarter ended June 30, 2026, were $2.1 million compared to $1.5 million for the comparable period in 2025.</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 xml:space="preserve">Net Loss </w:t>
      </w:r>
      <w:r>
        <w:rPr>
          <w:rFonts w:ascii="Times New Roman;serif" w:hAnsi="Times New Roman;serif"/>
          <w:b w:val="false"/>
          <w:color w:val="000000"/>
          <w:sz w:val="20"/>
        </w:rPr>
        <w:t>was $3.3 million for the quarter ended June 30, 2026, compared to $2.9 million for the comparable period in 2025.</w:t>
      </w:r>
    </w:p>
    <w:p>
      <w:pPr>
        <w:pStyle w:val="TextBody"/>
        <w:bidi w:val="0"/>
        <w:spacing w:lineRule="auto" w:line="276" w:before="0" w:after="180"/>
        <w:ind w:left="0" w:right="0" w:hanging="360"/>
        <w:jc w:val="left"/>
        <w:rPr/>
      </w:pPr>
      <w:r>
        <w:rPr>
          <w:color w:val="000000"/>
        </w:rPr>
        <w:t>•</w:t>
      </w:r>
      <w:r>
        <w:rPr>
          <w:rFonts w:ascii="Times New Roman;serif" w:hAnsi="Times New Roman;serif"/>
          <w:b/>
          <w:color w:val="000000"/>
          <w:sz w:val="20"/>
        </w:rPr>
        <w:t xml:space="preserve">Cash and cash equivalents: </w:t>
      </w:r>
      <w:r>
        <w:rPr>
          <w:rFonts w:ascii="Times New Roman;serif" w:hAnsi="Times New Roman;serif"/>
          <w:b w:val="false"/>
          <w:color w:val="000000"/>
          <w:sz w:val="20"/>
        </w:rPr>
        <w:t>As of June 30, 2026, Azitra had cash and cash equivalents of $6.7 million.</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About Azitra, Inc.</w:t>
      </w:r>
    </w:p>
    <w:p>
      <w:pPr>
        <w:pStyle w:val="TextBody"/>
        <w:bidi w:val="0"/>
        <w:spacing w:lineRule="auto" w:line="268"/>
        <w:jc w:val="both"/>
        <w:rPr/>
      </w:pPr>
      <w:r>
        <w:rPr>
          <w:rFonts w:ascii="Times New Roman;serif" w:hAnsi="Times New Roman;serif"/>
          <w:b w:val="false"/>
          <w:color w:val="000000"/>
          <w:sz w:val="20"/>
        </w:rPr>
        <w:t xml:space="preserve">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 inhibitor-associated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w:t>
      </w:r>
      <w:r>
        <w:rPr>
          <w:rFonts w:ascii="Times New Roman;serif" w:hAnsi="Times New Roman;serif"/>
          <w:b w:val="false"/>
          <w:color w:val="0000FF"/>
          <w:sz w:val="20"/>
        </w:rPr>
        <w:t>https://azitrainc.com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60" w:after="18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potential resumption and expected timing of initial safety data and topline results for the Phase 1b trial for our ATR-12, (ii) the abstract detailing the Phase 1/2 clinical trial for our ATR-04 program, (iii) our provision of initial safety data and topline results for the Phase 1/2 clinical trial for our ATR-04 program, (iv) statements about our clinical and preclinical programs, and corporate and clinical/preclinical strategies, including our cosmeceutical strategy and our recombinant protein platform, (v) the expected timing of our planned human cosmetic application study for ATR-COSF, and (vi) statements regarding our strategy plans and priorities, including those outlined in our recent shareholder letter.</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delays in the provision of initial safety data and topline results for ATR-COSF, our recombinant protein platform, ATR-12 and ATR-04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May 13, 2026 and August 12, 2026 with the SEC. Azitra explicitly disclaims any obligation to update any forward-looking statements except to the extent required by law.</w:t>
      </w:r>
    </w:p>
    <w:p>
      <w:pPr>
        <w:pStyle w:val="TextBody"/>
        <w:bidi w:val="0"/>
        <w:spacing w:lineRule="auto" w:line="26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Norman Staskey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6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staskey@azitrainc.com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Tiberend Strategic Advisors, Inc.</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David Irish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231-632-0002</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dirish@tiberend.com</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Media Relations </w:t>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Tiberend Strategic Advisors,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Casey McDonald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646-577-8520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cmcdonald@tiberend.com</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Condensed Statement of Operations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7"/>
        <w:gridCol w:w="1558"/>
        <w:gridCol w:w="1559"/>
        <w:gridCol w:w="109"/>
        <w:gridCol w:w="109"/>
        <w:gridCol w:w="109"/>
        <w:gridCol w:w="159"/>
        <w:gridCol w:w="159"/>
        <w:gridCol w:w="159"/>
        <w:gridCol w:w="540"/>
        <w:gridCol w:w="541"/>
        <w:gridCol w:w="311"/>
        <w:gridCol w:w="159"/>
        <w:gridCol w:w="159"/>
        <w:gridCol w:w="159"/>
        <w:gridCol w:w="159"/>
        <w:gridCol w:w="159"/>
        <w:gridCol w:w="159"/>
        <w:gridCol w:w="159"/>
        <w:gridCol w:w="159"/>
        <w:gridCol w:w="159"/>
        <w:gridCol w:w="488"/>
        <w:gridCol w:w="488"/>
        <w:gridCol w:w="311"/>
        <w:gridCol w:w="109"/>
        <w:gridCol w:w="109"/>
        <w:gridCol w:w="159"/>
      </w:tblGrid>
      <w:tr>
        <w:trPr/>
        <w:tc>
          <w:tcPr>
            <w:tcW w:w="179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8"/>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pPr>
            <w:r>
              <w:rPr/>
              <w:t>Three Months Ended June 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2,067,639</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1,469,513</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1,351,529 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1,401,839 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3,419,168 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2,871,352 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3,419,168 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2,871,352 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74,661 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15,461 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(32,688)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71,508 </w:t>
            </w:r>
          </w:p>
        </w:tc>
        <w:tc>
          <w:tcPr>
            <w:tcW w:w="3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(17,641)</w:t>
            </w:r>
          </w:p>
        </w:tc>
        <w:tc>
          <w:tcPr>
            <w:tcW w:w="3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3,347,660 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2,888,993 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3,347,660 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2,888,993 </w:t>
            </w:r>
          </w:p>
        </w:tc>
        <w:tc>
          <w:tcPr>
            <w:tcW w:w="3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basic and diluted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bottom w:val="single" w:sz="8" w:space="0" w:color="000000"/>
            </w:tcBorders>
            <w:shd w:fill="BFE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19,300,704 </w:t>
            </w:r>
          </w:p>
        </w:tc>
        <w:tc>
          <w:tcPr>
            <w:tcW w:w="311" w:type="dxa"/>
            <w:tcBorders>
              <w:bottom w:val="sing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bottom w:val="single" w:sz="8" w:space="0" w:color="000000"/>
            </w:tcBorders>
            <w:shd w:fill="BFE4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2,444,340 </w:t>
            </w:r>
          </w:p>
        </w:tc>
        <w:tc>
          <w:tcPr>
            <w:tcW w:w="311" w:type="dxa"/>
            <w:tcBorders>
              <w:bottom w:val="sing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91" w:type="dxa"/>
        <w:jc w:val="left"/>
        <w:tblInd w:w="0" w:type="dxa"/>
        <w:tblLayout w:type="fixed"/>
        <w:tblCellMar>
          <w:top w:w="28" w:type="dxa"/>
          <w:left w:w="28" w:type="dxa"/>
          <w:bottom w:w="28" w:type="dxa"/>
          <w:right w:w="28" w:type="dxa"/>
        </w:tblCellMar>
      </w:tblPr>
      <w:tblGrid>
        <w:gridCol w:w="1241"/>
        <w:gridCol w:w="1097"/>
        <w:gridCol w:w="1112"/>
        <w:gridCol w:w="109"/>
        <w:gridCol w:w="109"/>
        <w:gridCol w:w="109"/>
        <w:gridCol w:w="135"/>
        <w:gridCol w:w="135"/>
        <w:gridCol w:w="135"/>
        <w:gridCol w:w="576"/>
        <w:gridCol w:w="579"/>
        <w:gridCol w:w="135"/>
        <w:gridCol w:w="109"/>
        <w:gridCol w:w="109"/>
        <w:gridCol w:w="109"/>
        <w:gridCol w:w="109"/>
        <w:gridCol w:w="109"/>
        <w:gridCol w:w="109"/>
        <w:gridCol w:w="209"/>
        <w:gridCol w:w="209"/>
        <w:gridCol w:w="209"/>
        <w:gridCol w:w="576"/>
        <w:gridCol w:w="579"/>
        <w:gridCol w:w="211"/>
        <w:gridCol w:w="109"/>
        <w:gridCol w:w="109"/>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6,727,810 </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2,068,083 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571,282 </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809,949 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7,443,822 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3,019,327 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536,422 </w:t>
            </w:r>
          </w:p>
        </w:tc>
        <w:tc>
          <w:tcPr>
            <w:tcW w:w="13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548,591 </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935,802 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1,457,468 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8,916,046 </w:t>
            </w:r>
          </w:p>
        </w:tc>
        <w:tc>
          <w:tcPr>
            <w:tcW w:w="13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5,025,386 </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399,356 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financing lease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357,569 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255,776 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 financing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198,983 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673,669 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203,740 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1,530,709 </w:t>
            </w:r>
          </w:p>
        </w:tc>
        <w:tc>
          <w:tcPr>
            <w:tcW w:w="13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1,067,966 </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156,190 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1,581,707 </w:t>
            </w:r>
          </w:p>
        </w:tc>
        <w:tc>
          <w:tcPr>
            <w:tcW w:w="13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1,224,156 </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6,060 </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83,124,375 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72,321,352 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(75,796,096)</w:t>
            </w:r>
          </w:p>
        </w:tc>
        <w:tc>
          <w:tcPr>
            <w:tcW w:w="13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BFE4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(68,521,196)</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7,334,339 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3,801,230 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8,916,046 </w:t>
            </w:r>
          </w:p>
        </w:tc>
        <w:tc>
          <w:tcPr>
            <w:tcW w:w="135" w:type="dxa"/>
            <w:tcBorders>
              <w:bottom w:val="sing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gridSpan w:val="2"/>
            <w:tcBorders>
              <w:bottom w:val="single" w:sz="8" w:space="0" w:color="000000"/>
            </w:tcBorders>
            <w:shd w:fill="BFE4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5,025,386 </w:t>
            </w:r>
          </w:p>
        </w:tc>
        <w:tc>
          <w:tcPr>
            <w:tcW w:w="211" w:type="dxa"/>
            <w:tcBorders>
              <w:bottom w:val="sing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2283</Words>
  <Characters>14027</Characters>
  <CharactersWithSpaces>16132</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