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715"/>
            <w:bookmarkEnd w:id="6"/>
            <w:r>
              <w:rPr>
                <w:rFonts w:ascii="Times New Roman;Times;Serif" w:hAnsi="Times New Roman;Times;Serif"/>
                <w:b/>
                <w:i w:val="false"/>
                <w:caps w:val="false"/>
                <w:smallCaps w:val="false"/>
                <w:sz w:val="20"/>
              </w:rPr>
              <w:t>001-41705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46-4478536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Branford, </w:t>
      </w:r>
      <w:bookmarkStart w:id="10" w:name="xdx_902_edei--EntityAddressStateOrProvin"/>
      <w:bookmarkEnd w:id="10"/>
      <w:r>
        <w:rPr>
          <w:rFonts w:ascii="Times New Roman;Times;Serif" w:hAnsi="Times New Roman;Times;Serif"/>
          <w:b/>
          <w:i w:val="false"/>
          <w:caps w:val="false"/>
          <w:smallCaps w:val="false"/>
          <w:sz w:val="20"/>
        </w:rPr>
        <w:t xml:space="preserve">CT </w:t>
      </w:r>
      <w:bookmarkStart w:id="11" w:name="xdx_903_edei--EntityAddressPostalZipCode"/>
      <w:bookmarkEnd w:id="11"/>
      <w:r>
        <w:rPr>
          <w:rFonts w:ascii="Times New Roman;Times;Serif" w:hAnsi="Times New Roman;Times;Serif"/>
          <w:b/>
          <w:i w:val="false"/>
          <w:caps w:val="false"/>
          <w:smallCaps w:val="false"/>
          <w:sz w:val="20"/>
        </w:rPr>
        <w:t>06405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7_edei--CityAreaCode_c20260715__20"/>
      <w:bookmarkEnd w:id="12"/>
      <w:r>
        <w:rPr>
          <w:rFonts w:ascii="Times New Roman;Times;Serif" w:hAnsi="Times New Roman;Times;Serif"/>
          <w:b/>
          <w:i w:val="false"/>
          <w:caps w:val="false"/>
          <w:smallCaps w:val="false"/>
          <w:sz w:val="20"/>
        </w:rPr>
        <w:t xml:space="preserve">(203) </w:t>
      </w:r>
      <w:bookmarkStart w:id="13" w:name="xdx_906_edei--LocalPhoneNumber_c20260715"/>
      <w:bookmarkEnd w:id="13"/>
      <w:r>
        <w:rPr>
          <w:rFonts w:ascii="Times New Roman;Times;Serif" w:hAnsi="Times New Roman;Times;Serif"/>
          <w:b/>
          <w:i w:val="false"/>
          <w:caps w:val="false"/>
          <w:smallCaps w:val="false"/>
          <w:sz w:val="20"/>
        </w:rPr>
        <w:t>646-6446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8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915"/>
        <w:gridCol w:w="60"/>
        <w:gridCol w:w="1535"/>
        <w:gridCol w:w="60"/>
        <w:gridCol w:w="3590"/>
      </w:tblGrid>
      <w:tr>
        <w:trPr/>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9_edei--Security12bTitle_c20260715"/>
            <w:bookmarkEnd w:id="18"/>
            <w:r>
              <w:rPr>
                <w:rFonts w:ascii="Times New Roman;Times;Serif" w:hAnsi="Times New Roman;Times;Serif"/>
                <w:b/>
                <w:i w:val="false"/>
                <w:caps w:val="false"/>
                <w:smallCaps w:val="false"/>
                <w:sz w:val="20"/>
              </w:rPr>
              <w:t>Common stock, par value $0.0001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6_edei--TradingSymbol_c20260715__2"/>
            <w:bookmarkEnd w:id="19"/>
            <w:r>
              <w:rPr>
                <w:rFonts w:ascii="Times New Roman;Times;Serif" w:hAnsi="Times New Roman;Times;Serif"/>
                <w:b/>
                <w:i w:val="false"/>
                <w:caps w:val="false"/>
                <w:smallCaps w:val="false"/>
                <w:sz w:val="20"/>
              </w:rPr>
              <w:t>AZTR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6_edei--SecurityExchangeName_c2026"/>
            <w:bookmarkEnd w:id="20"/>
            <w:r>
              <w:rPr>
                <w:rFonts w:ascii="Times New Roman;Times;Serif" w:hAnsi="Times New Roman;Times;Serif"/>
                <w:b/>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issued a press release.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485" w:type="dxa"/>
            <w:tcBorders/>
            <w:shd w:fill="CCEEFF" w:val="cle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15, 2026.</w:t>
              </w:r>
            </w:hyperlink>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730"/>
        <w:gridCol w:w="320"/>
        <w:gridCol w:w="1955"/>
      </w:tblGrid>
      <w:tr>
        <w:trPr/>
        <w:tc>
          <w:tcPr>
            <w:tcW w:w="1730" w:type="dxa"/>
            <w:tcBorders/>
            <w:vAlign w:val="center"/>
          </w:tcPr>
          <w:p>
            <w:pPr>
              <w:pStyle w:val="TableContents"/>
              <w:bidi w:val="0"/>
              <w:spacing w:before="0" w:after="283"/>
              <w:jc w:val="center"/>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D. Salva</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Azitra, Inc. Announces Breakthrough Repeat Dose and Anti-Wrinkle </w:t>
      </w:r>
      <w:r>
        <w:rPr>
          <w:rFonts w:ascii="Times New Roman;Times;Serif" w:hAnsi="Times New Roman;Times;Serif"/>
          <w:b/>
          <w:i/>
          <w:caps w:val="false"/>
          <w:smallCaps w:val="false"/>
          <w:sz w:val="20"/>
        </w:rPr>
        <w:t>Ex Vivo</w:t>
      </w:r>
      <w:r>
        <w:rPr>
          <w:rFonts w:ascii="Times New Roman;Times;Serif" w:hAnsi="Times New Roman;Times;Serif"/>
          <w:b/>
          <w:i w:val="false"/>
          <w:caps w:val="false"/>
          <w:smallCaps w:val="false"/>
          <w:sz w:val="20"/>
        </w:rPr>
        <w:t xml:space="preserve"> Results for</w:t>
        <w:br/>
        <w:t xml:space="preserve">ATR-COSF Program, Demonstrating Increased Distribution and Elasticity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ATR-COSF uses a supernatant based formulation containing an active recombinant human domain of the protein, filaggrin (“rHDfilaggrin”)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This S. epidermis derived supernatant is in development as a high value cosmetic ingredient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 vivo data successfully showed controlled distribution of the rHDfilaggrin into the stratum granulosum in increased amounts over prior single dose experiments in human skin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Single dose ex vivo experiments established improvements in elasticity and reduced the appearance of new fine lines and wrinkles in human skin </w:t>
            </w:r>
          </w:p>
        </w:tc>
      </w:tr>
    </w:tbl>
    <w:p>
      <w:pPr>
        <w:pStyle w:val="TextBody"/>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BRANFORD, Conn. – July 15, 2026 - Azitra, Inc. (NYSE American: AZTR), a clinical stage biopharmaceutical company focused on developing innovative therapies for precision dermatology and high value cosmetic proteins and peptides, today announced promising results from two separate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human skin tissue studies. The studies evaluated the distribution and anti-wrinkle activity of Azitra’s filaggrin domain containing supernatant in two separate experimental studies.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ATR-COSF program utilizes the supernatant from a strain of </w:t>
      </w:r>
      <w:r>
        <w:rPr>
          <w:rFonts w:ascii="Times New Roman;Times;Serif" w:hAnsi="Times New Roman;Times;Serif"/>
          <w:b w:val="false"/>
          <w:i/>
          <w:caps w:val="false"/>
          <w:smallCaps w:val="false"/>
          <w:sz w:val="20"/>
        </w:rPr>
        <w:t>S. epidermidis</w:t>
      </w:r>
      <w:r>
        <w:rPr>
          <w:rFonts w:ascii="Times New Roman;Times;Serif" w:hAnsi="Times New Roman;Times;Serif"/>
          <w:b w:val="false"/>
          <w:i w:val="false"/>
          <w:caps w:val="false"/>
          <w:smallCaps w:val="false"/>
          <w:sz w:val="20"/>
        </w:rPr>
        <w:t xml:space="preserve"> engineered to secrete a functional unit of the human filaggrin protein. In the first study, ATR-COSF supernatant was found to provide a positive penetration and distribution profile for rHDfilaggrin in a multiple dose,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model. The study, which utilized fresh, healthy human skin explants, demonstrated a remarkable increase in rHDfilaggrin delivered through the stratum corneum and into the stratum granulosum layers, compared to single dose previous work. Additionally, improved concentration in the stratum corneum and stratum granulosum layers was seen with the formulated product in comparison to concentrated supernatant alone.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model offers a biologically relevant system for evaluating skin penetration while preserving the architecture of human skin. The healthy human skin explants were first stimulated with TH2 cytokines to reduce the levels of endogenous filaggrin in the samples. The study used a 2% lyophilized supernatant in a hydrogel formulation. rHDfilaggrin penetration in the middle to lower stratum corneum was detected following a single application of the 2% formulation. Increased amounts of rHDfilaggrin were observed with additional applications. Safety testing conducted in accordance with standardized guidelines demonstrated that the 2% supernatant formulation is non-irritating and non-corrosive to the skin and eyes.</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915025" cy="2457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15025" cy="2457450"/>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figure above, (A) depicts the explanted healthy human skin explant prior to any treatment. Native filaggrin as well as profilaggrin in keratohyalin granules (stained in green) are apparent in the stratum granulosum (SG) layer. (B) shows the skin sample after TH2 cytokine stimulation to reduce or eliminate native filaggrin in the stratum granulosum layer. Furthermore, TH2 cytokine stimulation markedly reduced the presence of keratohyalin granules, resulting in decreased endogenous filaggrin. This reduction facilitates the differentiation and detection of rHDfilaggrin following application. (C) shows penetration and distribution of rHDfilaggrin into the stratum granulosum layer after one application of the cell free supernatant. (D) shows penetration and distribution of rHDfilaggrin into the stratum granulosum layer after three applications of the lyophilized cell free supernatant in a hydrogel formulation.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second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model utilized defatted human skin explants to assess the effect of the lyophilized rHDfilaggrin supernatant in a hydrogel formulation on human skin elasticity. Concentrations of the supernatant in the hydrogel were varied from 0.0% to 7.5% (weight/weight or “w/w”). Elasticity was measured at 20 hours post application. Skin samples were incubated at 30ºC. The hydrogel alone results are shown in open circles and the active are in black squares.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Skin Elasticity Measurement vs Supernatant Concentration</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5076825" cy="2143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76825" cy="21431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hydrogel containing the lyophilized supernatant was active in increasing the elasticity of ex vivo human skin sections in a dose-dependent manner. Minimal and maximum effects in elasticity enhancement were observed in hydrogels containing 0.09% w/w (1.6-fold) and 7.5% w/w (4.4-fold) of active ingredient, respectively. Hydrogels containing 0.28% w/w of active ingredient restored ex vivo abdominoplasty skin elasticity to values historically observed in healthy skin. Pictures taken of skin samples after the incubation period treated with placebo or the 0.3% w/w supernatant hydrogel are shown below. The active treated sample showed approximately two times the elasticity compared to the placebo treated skin sample, highlighting the formulation’s potential as a novel cosmetic ingredient for improving skin firmness and resilience.</w:t>
      </w:r>
    </w:p>
    <w:p>
      <w:pPr>
        <w:pStyle w:val="TextBody"/>
        <w:bidi w:val="0"/>
        <w:jc w:val="both"/>
        <w:rPr>
          <w:caps w:val="false"/>
          <w:smallCaps w:val="false"/>
        </w:rPr>
      </w:pPr>
      <w:r>
        <w:rPr>
          <w:caps w:val="false"/>
          <w:smallCaps w:val="false"/>
        </w:rPr>
        <w:t> </w:t>
      </w:r>
    </w:p>
    <w:tbl>
      <w:tblPr>
        <w:tblW w:w="9750" w:type="dxa"/>
        <w:jc w:val="left"/>
        <w:tblInd w:w="0" w:type="dxa"/>
        <w:tblLayout w:type="fixed"/>
        <w:tblCellMar>
          <w:top w:w="0" w:type="dxa"/>
          <w:left w:w="0" w:type="dxa"/>
          <w:bottom w:w="0" w:type="dxa"/>
          <w:right w:w="0" w:type="dxa"/>
        </w:tblCellMar>
      </w:tblPr>
      <w:tblGrid>
        <w:gridCol w:w="4845"/>
        <w:gridCol w:w="60"/>
        <w:gridCol w:w="4845"/>
      </w:tblGrid>
      <w:tr>
        <w:trPr/>
        <w:tc>
          <w:tcPr>
            <w:tcW w:w="4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Placebo Treated</w:t>
            </w:r>
          </w:p>
        </w:tc>
        <w:tc>
          <w:tcPr>
            <w:tcW w:w="60" w:type="dxa"/>
            <w:tcBorders/>
            <w:vAlign w:val="center"/>
          </w:tcPr>
          <w:p>
            <w:pPr>
              <w:pStyle w:val="TableContents"/>
              <w:bidi w:val="0"/>
              <w:spacing w:before="0" w:after="283"/>
              <w:jc w:val="left"/>
              <w:rPr/>
            </w:pPr>
            <w:r>
              <w:rPr/>
              <w:t> </w:t>
            </w:r>
          </w:p>
        </w:tc>
        <w:tc>
          <w:tcPr>
            <w:tcW w:w="4845" w:type="dxa"/>
            <w:tcBorders/>
            <w:vAlign w:val="center"/>
          </w:tcPr>
          <w:p>
            <w:pPr>
              <w:pStyle w:val="TableContents"/>
              <w:bidi w:val="0"/>
              <w:spacing w:before="0" w:after="283"/>
              <w:jc w:val="center"/>
              <w:rPr>
                <w:b/>
              </w:rPr>
            </w:pPr>
            <w:r>
              <w:rPr>
                <w:b/>
              </w:rPr>
              <w:t>Active Treated – 0.3% Supernatant</w:t>
            </w:r>
          </w:p>
        </w:tc>
      </w:tr>
      <w:tr>
        <w:trPr/>
        <w:tc>
          <w:tcPr>
            <w:tcW w:w="4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5" w:type="dxa"/>
            <w:tcBorders/>
            <w:vAlign w:val="center"/>
          </w:tcPr>
          <w:p>
            <w:pPr>
              <w:pStyle w:val="TableContents"/>
              <w:bidi w:val="0"/>
              <w:spacing w:before="0" w:after="283"/>
              <w:jc w:val="both"/>
              <w:rPr/>
            </w:pPr>
            <w:r>
              <w:rPr/>
              <w:t> </w:t>
            </w:r>
          </w:p>
        </w:tc>
      </w:tr>
      <w:tr>
        <w:trPr/>
        <w:tc>
          <w:tcPr>
            <w:tcW w:w="4845" w:type="dxa"/>
            <w:tcBorders/>
            <w:vAlign w:val="center"/>
          </w:tcPr>
          <w:p>
            <w:pPr>
              <w:pStyle w:val="TableContents"/>
              <w:bidi w:val="0"/>
              <w:spacing w:before="0" w:after="283"/>
              <w:jc w:val="center"/>
              <w:rPr/>
            </w:pPr>
            <w:r>
              <w:rPr/>
              <w:drawing>
                <wp:inline distT="0" distB="0" distL="0" distR="0">
                  <wp:extent cx="3067050" cy="133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67050" cy="13335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845" w:type="dxa"/>
            <w:tcBorders/>
            <w:vAlign w:val="center"/>
          </w:tcPr>
          <w:p>
            <w:pPr>
              <w:pStyle w:val="TableContents"/>
              <w:bidi w:val="0"/>
              <w:spacing w:before="0" w:after="283"/>
              <w:jc w:val="center"/>
              <w:rPr/>
            </w:pPr>
            <w:r>
              <w:rPr/>
              <w:drawing>
                <wp:inline distT="0" distB="0" distL="0" distR="0">
                  <wp:extent cx="3067050" cy="133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67050" cy="1333500"/>
                          </a:xfrm>
                          <a:prstGeom prst="rect">
                            <a:avLst/>
                          </a:prstGeom>
                        </pic:spPr>
                      </pic:pic>
                    </a:graphicData>
                  </a:graphic>
                </wp:inline>
              </w:drawing>
            </w:r>
          </w:p>
        </w:tc>
      </w:tr>
    </w:tbl>
    <w:p>
      <w:pPr>
        <w:pStyle w:val="TextBody"/>
        <w:bidi w:val="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team at Azitra continues to be highly motivated by the prospects of our ATR-COSF program and its potential to have a substantial effect on improving the appearance of fine lines and wrinkles. Our plan is to continue to optimize our formulations and test on additional ex vivo human wrinkle models as we head towards starting our human study, which is being designed to translate our cutting edge science into observable, visible wrinkle reduction benefits for consumers,” said Francisco Salva, CEO of Azitra. “Filaggrin is a protein that is critical to the maintenance of our skin’s elasticity and pliability and overall healthy appearance.”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Azitra,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(“EGFRi”) associated rash. Azitra has received Fast Track designation from the FDA for EGFRi 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https://azitrainc.com.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expected timing of (i) our provision of initial safety data and topline results for the Phase 1b trial for our ATR-12, (ii) the abstract detailing the Phase 1/2 clinical trial for our ATR-04 program, (iii) our provision of initial safety data and topline results for the Phase 1/2 clinical trial for our ATR-04 program, and (iv) statements about our clinical and preclinical programs, including ATR-COSF, and corporate and clinical/preclinical strategies, including our cosmeceutical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delays in the provision of initial safety data and topline results for ATR-COSF, ATR-12 and ATR-04 and, if we do, such data and results may not be favorably received;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May 13, 2026 with the SEC. Azitra explicitly disclaims any obligation to update any forward-looking statements except to the extent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Staskey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staskey@azitrainc.com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Tiberend Strategic Advisors,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Irish</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231-632-0002</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dirish@tiberend.com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Tiberend Strategic Advisors,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McDonald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646-577-8520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cmcdonald@tiberend.com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Azitra, Inc.</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1818</Words>
  <Characters>10757</Characters>
  <CharactersWithSpaces>12588</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